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C9" w:rsidRPr="002463E2" w:rsidRDefault="00F63EC9" w:rsidP="00F63EC9">
      <w:pPr>
        <w:jc w:val="both"/>
        <w:rPr>
          <w:sz w:val="16"/>
          <w:szCs w:val="16"/>
        </w:rPr>
      </w:pPr>
      <w:r w:rsidRPr="002463E2">
        <w:rPr>
          <w:b/>
          <w:bCs/>
          <w:sz w:val="16"/>
          <w:szCs w:val="16"/>
        </w:rPr>
        <w:t>Figura 1</w:t>
      </w:r>
      <w:r w:rsidRPr="002463E2">
        <w:rPr>
          <w:bCs/>
          <w:sz w:val="16"/>
          <w:szCs w:val="16"/>
        </w:rPr>
        <w:t xml:space="preserve">. Interacción de las diferentes atmósferas con o sin la adición </w:t>
      </w:r>
      <w:r w:rsidRPr="002463E2">
        <w:rPr>
          <w:sz w:val="16"/>
          <w:szCs w:val="16"/>
        </w:rPr>
        <w:t xml:space="preserve">del antioxidante como fuentes de variación para </w:t>
      </w:r>
      <w:proofErr w:type="gramStart"/>
      <w:r w:rsidRPr="002463E2">
        <w:rPr>
          <w:sz w:val="16"/>
          <w:szCs w:val="16"/>
        </w:rPr>
        <w:t>la</w:t>
      </w:r>
      <w:proofErr w:type="gramEnd"/>
      <w:r w:rsidRPr="002463E2">
        <w:rPr>
          <w:sz w:val="16"/>
          <w:szCs w:val="16"/>
        </w:rPr>
        <w:t xml:space="preserve"> variable </w:t>
      </w:r>
      <w:r w:rsidRPr="002463E2">
        <w:rPr>
          <w:bCs/>
          <w:sz w:val="16"/>
          <w:szCs w:val="16"/>
        </w:rPr>
        <w:t>n</w:t>
      </w:r>
      <w:r w:rsidRPr="002463E2">
        <w:rPr>
          <w:sz w:val="16"/>
          <w:szCs w:val="16"/>
        </w:rPr>
        <w:t>úmero de células</w:t>
      </w:r>
      <w:r w:rsidRPr="00145271">
        <w:rPr>
          <w:sz w:val="20"/>
          <w:szCs w:val="20"/>
        </w:rPr>
        <w:t xml:space="preserve">, </w:t>
      </w:r>
      <w:r w:rsidRPr="002463E2">
        <w:rPr>
          <w:sz w:val="16"/>
          <w:szCs w:val="16"/>
        </w:rPr>
        <w:t xml:space="preserve">evaluadas por medio de la tinción de </w:t>
      </w:r>
      <w:proofErr w:type="spellStart"/>
      <w:r w:rsidRPr="002463E2">
        <w:rPr>
          <w:sz w:val="16"/>
          <w:szCs w:val="16"/>
        </w:rPr>
        <w:t>Giemsa</w:t>
      </w:r>
      <w:proofErr w:type="spellEnd"/>
      <w:r w:rsidRPr="002463E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2463E2">
        <w:rPr>
          <w:sz w:val="16"/>
          <w:szCs w:val="16"/>
        </w:rPr>
        <w:t>2: 2% O</w:t>
      </w:r>
      <w:r w:rsidRPr="002463E2">
        <w:rPr>
          <w:sz w:val="16"/>
          <w:szCs w:val="16"/>
          <w:vertAlign w:val="subscript"/>
        </w:rPr>
        <w:t>2</w:t>
      </w:r>
      <w:r w:rsidRPr="002463E2">
        <w:rPr>
          <w:sz w:val="16"/>
          <w:szCs w:val="16"/>
        </w:rPr>
        <w:t>; 5: 5% O</w:t>
      </w:r>
      <w:r w:rsidRPr="002463E2">
        <w:rPr>
          <w:sz w:val="16"/>
          <w:szCs w:val="16"/>
          <w:vertAlign w:val="subscript"/>
        </w:rPr>
        <w:t>2</w:t>
      </w:r>
      <w:r w:rsidRPr="002463E2">
        <w:rPr>
          <w:sz w:val="16"/>
          <w:szCs w:val="16"/>
        </w:rPr>
        <w:t>; 20: 20% O</w:t>
      </w:r>
      <w:r w:rsidRPr="002463E2">
        <w:rPr>
          <w:sz w:val="16"/>
          <w:szCs w:val="16"/>
          <w:vertAlign w:val="subscript"/>
        </w:rPr>
        <w:t>2</w:t>
      </w:r>
      <w:r w:rsidRPr="002463E2">
        <w:rPr>
          <w:sz w:val="16"/>
          <w:szCs w:val="16"/>
        </w:rPr>
        <w:t>; C: con antioxidante; S: sin antioxidante.</w:t>
      </w:r>
    </w:p>
    <w:p w:rsidR="00421141" w:rsidRDefault="00F63EC9">
      <w:bookmarkStart w:id="0" w:name="_GoBack"/>
      <w:bookmarkEnd w:id="0"/>
      <w:r>
        <w:rPr>
          <w:noProof/>
          <w:lang w:eastAsia="es-MX"/>
        </w:rPr>
        <w:drawing>
          <wp:anchor distT="3767" distB="1726" distL="121961" distR="119487" simplePos="0" relativeHeight="251658240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851535</wp:posOffset>
            </wp:positionV>
            <wp:extent cx="4962525" cy="2714625"/>
            <wp:effectExtent l="0" t="0" r="9525" b="9525"/>
            <wp:wrapThrough wrapText="bothSides">
              <wp:wrapPolygon edited="0">
                <wp:start x="83" y="0"/>
                <wp:lineTo x="0" y="455"/>
                <wp:lineTo x="0" y="21069"/>
                <wp:lineTo x="83" y="21524"/>
                <wp:lineTo x="21476" y="21524"/>
                <wp:lineTo x="21559" y="21221"/>
                <wp:lineTo x="21559" y="303"/>
                <wp:lineTo x="21393" y="0"/>
                <wp:lineTo x="83" y="0"/>
              </wp:wrapPolygon>
            </wp:wrapThrough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C9"/>
    <w:rsid w:val="00421141"/>
    <w:rsid w:val="00F6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5D873-5782-4206-9B39-8C3A216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roundedCorners val="1"/>
  <c:style val="3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s-MX"/>
            </a:pPr>
            <a:r>
              <a:rPr lang="en-US"/>
              <a:t>Número de células</a:t>
            </a:r>
          </a:p>
        </c:rich>
      </c:tx>
      <c:layout>
        <c:manualLayout>
          <c:xMode val="edge"/>
          <c:yMode val="edge"/>
          <c:x val="0.4086500319897633"/>
          <c:y val="0.61286549707602345"/>
        </c:manualLayout>
      </c:layout>
      <c:overlay val="1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Hoja1!$B$3</c:f>
              <c:strCache>
                <c:ptCount val="1"/>
                <c:pt idx="0">
                  <c:v>C</c:v>
                </c:pt>
              </c:strCache>
            </c:strRef>
          </c:tx>
          <c:cat>
            <c:numRef>
              <c:f>Hoja1!$C$2:$E$2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20</c:v>
                </c:pt>
              </c:numCache>
            </c:numRef>
          </c:cat>
          <c:val>
            <c:numRef>
              <c:f>Hoja1!$C$3:$E$3</c:f>
              <c:numCache>
                <c:formatCode>General</c:formatCode>
                <c:ptCount val="3"/>
                <c:pt idx="0">
                  <c:v>93.955000000000013</c:v>
                </c:pt>
                <c:pt idx="1">
                  <c:v>58.2</c:v>
                </c:pt>
                <c:pt idx="2">
                  <c:v>57.666000000000011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Hoja1!$B$4</c:f>
              <c:strCache>
                <c:ptCount val="1"/>
                <c:pt idx="0">
                  <c:v>S</c:v>
                </c:pt>
              </c:strCache>
            </c:strRef>
          </c:tx>
          <c:cat>
            <c:numRef>
              <c:f>Hoja1!$C$2:$E$2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20</c:v>
                </c:pt>
              </c:numCache>
            </c:numRef>
          </c:cat>
          <c:val>
            <c:numRef>
              <c:f>Hoja1!$C$4:$E$4</c:f>
              <c:numCache>
                <c:formatCode>General</c:formatCode>
                <c:ptCount val="3"/>
                <c:pt idx="0">
                  <c:v>80.298000000000002</c:v>
                </c:pt>
                <c:pt idx="1">
                  <c:v>86.141999999999996</c:v>
                </c:pt>
                <c:pt idx="2">
                  <c:v>50.832000000000001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0141472"/>
        <c:axId val="370141080"/>
      </c:lineChart>
      <c:catAx>
        <c:axId val="370141472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370141080"/>
        <c:crosses val="autoZero"/>
        <c:auto val="1"/>
        <c:lblAlgn val="ctr"/>
        <c:lblOffset val="100"/>
        <c:noMultiLvlLbl val="1"/>
      </c:catAx>
      <c:valAx>
        <c:axId val="370141080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 lang="es-MX"/>
                </a:pPr>
                <a:r>
                  <a:rPr lang="en-US"/>
                  <a:t>Blastomeros</a:t>
                </a:r>
              </a:p>
            </c:rich>
          </c:tx>
          <c:overlay val="1"/>
        </c:title>
        <c:numFmt formatCode="General" sourceLinked="1"/>
        <c:majorTickMark val="none"/>
        <c:minorTickMark val="cross"/>
        <c:tickLblPos val="nextTo"/>
        <c:crossAx val="370141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s-MX"/>
            </a:pPr>
            <a:endParaRPr lang="es-MX"/>
          </a:p>
        </c:txPr>
      </c:dTable>
    </c:plotArea>
    <c:plotVisOnly val="1"/>
    <c:dispBlanksAs val="gap"/>
    <c:showDLblsOverMax val="1"/>
  </c:chart>
  <c:externalData r:id="rId2">
    <c:autoUpdate val="1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Yañez</dc:creator>
  <cp:keywords/>
  <dc:description/>
  <cp:lastModifiedBy>Roberto Yañez</cp:lastModifiedBy>
  <cp:revision>1</cp:revision>
  <dcterms:created xsi:type="dcterms:W3CDTF">2017-02-01T03:37:00Z</dcterms:created>
  <dcterms:modified xsi:type="dcterms:W3CDTF">2017-02-01T03:40:00Z</dcterms:modified>
</cp:coreProperties>
</file>